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005C" w14:textId="34E25F53" w:rsidR="00AF4EB8" w:rsidRDefault="00A67F1B">
      <w:pPr>
        <w:rPr>
          <w:b/>
          <w:bCs/>
        </w:rPr>
      </w:pPr>
      <w:r>
        <w:rPr>
          <w:b/>
          <w:bCs/>
        </w:rPr>
        <w:t xml:space="preserve">Chapter __ - </w:t>
      </w:r>
      <w:r w:rsidRPr="00A67F1B">
        <w:rPr>
          <w:b/>
          <w:bCs/>
          <w:highlight w:val="yellow"/>
        </w:rPr>
        <w:t xml:space="preserve">[Insert </w:t>
      </w:r>
      <w:r>
        <w:rPr>
          <w:b/>
          <w:bCs/>
          <w:highlight w:val="yellow"/>
        </w:rPr>
        <w:t xml:space="preserve">SOP </w:t>
      </w:r>
      <w:r w:rsidRPr="00A67F1B">
        <w:rPr>
          <w:b/>
          <w:bCs/>
          <w:highlight w:val="yellow"/>
        </w:rPr>
        <w:t>Title]</w:t>
      </w:r>
    </w:p>
    <w:p w14:paraId="6E6F171D" w14:textId="674E3955" w:rsidR="009B2C4A" w:rsidRDefault="00152BB8">
      <w:r>
        <w:t>This document is a template to be used as a guide in formatting Standard Operating Procedures (</w:t>
      </w:r>
      <w:proofErr w:type="gramStart"/>
      <w:r>
        <w:t>SOPs)  It</w:t>
      </w:r>
      <w:proofErr w:type="gramEnd"/>
      <w:r>
        <w:t xml:space="preserve"> is intended to standardize the look and feel of the SOPs.</w:t>
      </w:r>
      <w:r w:rsidR="00E628F7">
        <w:t xml:space="preserve">  </w:t>
      </w:r>
      <w:r w:rsidR="00E628F7">
        <w:rPr>
          <w:highlight w:val="yellow"/>
        </w:rPr>
        <w:t>[Edit this purpose statement based on the specific SOP topic.]</w:t>
      </w:r>
    </w:p>
    <w:p w14:paraId="384796DA" w14:textId="576478FB" w:rsidR="00152BB8" w:rsidRDefault="00C95B1D" w:rsidP="00C95B1D">
      <w:pPr>
        <w:pStyle w:val="ListParagraph"/>
        <w:ind w:left="0"/>
      </w:pPr>
      <w:r>
        <w:t xml:space="preserve">a. </w:t>
      </w:r>
      <w:r w:rsidR="00F9367B">
        <w:t xml:space="preserve"> </w:t>
      </w:r>
      <w:r w:rsidR="00F9367B" w:rsidRPr="00F9367B">
        <w:rPr>
          <w:highlight w:val="yellow"/>
        </w:rPr>
        <w:t>[Insert S</w:t>
      </w:r>
      <w:r>
        <w:rPr>
          <w:highlight w:val="yellow"/>
        </w:rPr>
        <w:t>ubtopic</w:t>
      </w:r>
      <w:r w:rsidR="00F9367B" w:rsidRPr="00F9367B">
        <w:rPr>
          <w:highlight w:val="yellow"/>
        </w:rPr>
        <w:t xml:space="preserve"> Title Here]</w:t>
      </w:r>
    </w:p>
    <w:p w14:paraId="30E4E35E" w14:textId="443FA4EB" w:rsidR="00F9367B" w:rsidRDefault="00C95B1D" w:rsidP="00C95B1D">
      <w:pPr>
        <w:ind w:left="720" w:hanging="360"/>
      </w:pPr>
      <w:r>
        <w:rPr>
          <w:highlight w:val="yellow"/>
        </w:rPr>
        <w:t xml:space="preserve">1).  </w:t>
      </w:r>
      <w:r w:rsidR="00F9367B" w:rsidRPr="00C95B1D">
        <w:rPr>
          <w:highlight w:val="yellow"/>
        </w:rPr>
        <w:t>[Example of subparagraph numbering</w:t>
      </w:r>
      <w:r w:rsidR="00F17D95" w:rsidRPr="00C95B1D">
        <w:rPr>
          <w:highlight w:val="yellow"/>
        </w:rPr>
        <w:t>]</w:t>
      </w:r>
    </w:p>
    <w:p w14:paraId="5B519633" w14:textId="7DB9615C" w:rsidR="00F9367B" w:rsidRDefault="00C95B1D" w:rsidP="00C95B1D">
      <w:pPr>
        <w:ind w:left="1080" w:hanging="360"/>
      </w:pPr>
      <w:proofErr w:type="spellStart"/>
      <w:r>
        <w:t>i</w:t>
      </w:r>
      <w:proofErr w:type="spellEnd"/>
      <w:r w:rsidR="00F9367B">
        <w:t xml:space="preserve">). </w:t>
      </w:r>
      <w:r w:rsidR="00F17D95">
        <w:t xml:space="preserve"> </w:t>
      </w:r>
    </w:p>
    <w:p w14:paraId="57497A15" w14:textId="337C5EBC" w:rsidR="00F9367B" w:rsidRDefault="00F9367B" w:rsidP="00C95B1D"/>
    <w:p w14:paraId="22A404E4" w14:textId="45346F0A" w:rsidR="00F9367B" w:rsidRDefault="00C95B1D" w:rsidP="00C95B1D">
      <w:pPr>
        <w:pStyle w:val="ListParagraph"/>
        <w:numPr>
          <w:ilvl w:val="0"/>
          <w:numId w:val="10"/>
        </w:numPr>
        <w:ind w:left="360"/>
      </w:pPr>
      <w:r>
        <w:rPr>
          <w:highlight w:val="yellow"/>
        </w:rPr>
        <w:t xml:space="preserve"> </w:t>
      </w:r>
      <w:r w:rsidR="00F9367B" w:rsidRPr="00C95B1D">
        <w:rPr>
          <w:highlight w:val="yellow"/>
        </w:rPr>
        <w:t>[Insert S</w:t>
      </w:r>
      <w:r w:rsidRPr="00C95B1D">
        <w:rPr>
          <w:highlight w:val="yellow"/>
        </w:rPr>
        <w:t>ubtopic</w:t>
      </w:r>
      <w:r w:rsidR="00F9367B" w:rsidRPr="00C95B1D">
        <w:rPr>
          <w:highlight w:val="yellow"/>
        </w:rPr>
        <w:t xml:space="preserve"> Title Here]</w:t>
      </w:r>
    </w:p>
    <w:p w14:paraId="4A3E4A73" w14:textId="3B50F84E" w:rsidR="00F17D95" w:rsidRDefault="00C95B1D" w:rsidP="00C95B1D">
      <w:pPr>
        <w:pStyle w:val="ListParagraph"/>
        <w:numPr>
          <w:ilvl w:val="0"/>
          <w:numId w:val="11"/>
        </w:numPr>
      </w:pPr>
      <w:r>
        <w:rPr>
          <w:highlight w:val="yellow"/>
        </w:rPr>
        <w:t xml:space="preserve"> </w:t>
      </w:r>
      <w:r w:rsidR="00F17D95" w:rsidRPr="00572860">
        <w:rPr>
          <w:highlight w:val="yellow"/>
        </w:rPr>
        <w:t>[Example of subparagraph numbering]</w:t>
      </w:r>
    </w:p>
    <w:p w14:paraId="6ABA0E8F" w14:textId="57FA088B" w:rsidR="00F17D95" w:rsidRDefault="00C95B1D" w:rsidP="00C95B1D">
      <w:pPr>
        <w:ind w:left="1080" w:hanging="360"/>
      </w:pPr>
      <w:proofErr w:type="spellStart"/>
      <w:r>
        <w:t>i</w:t>
      </w:r>
      <w:proofErr w:type="spellEnd"/>
      <w:r w:rsidR="00F17D95">
        <w:t xml:space="preserve">).  </w:t>
      </w:r>
    </w:p>
    <w:p w14:paraId="7ECD6E32" w14:textId="5A3599EE" w:rsidR="00F17D95" w:rsidRDefault="00F17D95" w:rsidP="00C95B1D"/>
    <w:p w14:paraId="3DE9FEAB" w14:textId="01FA6D82" w:rsidR="00C95B1D" w:rsidRPr="00C95B1D" w:rsidRDefault="00C95B1D" w:rsidP="00C95B1D">
      <w:pPr>
        <w:rPr>
          <w:highlight w:val="yellow"/>
        </w:rPr>
      </w:pPr>
      <w:r w:rsidRPr="00C95B1D">
        <w:rPr>
          <w:highlight w:val="yellow"/>
        </w:rPr>
        <w:t>Example:</w:t>
      </w:r>
    </w:p>
    <w:p w14:paraId="408B8A5C" w14:textId="77777777" w:rsidR="00C95B1D" w:rsidRPr="00C95B1D" w:rsidRDefault="00C95B1D" w:rsidP="00C95B1D">
      <w:pPr>
        <w:rPr>
          <w:sz w:val="28"/>
          <w:szCs w:val="28"/>
          <w:highlight w:val="yellow"/>
        </w:rPr>
      </w:pPr>
      <w:r w:rsidRPr="00C95B1D">
        <w:rPr>
          <w:b/>
          <w:bCs/>
          <w:sz w:val="28"/>
          <w:szCs w:val="28"/>
          <w:highlight w:val="yellow"/>
        </w:rPr>
        <w:t>Chapter 3 – Training</w:t>
      </w:r>
    </w:p>
    <w:p w14:paraId="4447BA19" w14:textId="77777777" w:rsidR="00C95B1D" w:rsidRPr="00C95B1D" w:rsidRDefault="00C95B1D" w:rsidP="00C95B1D">
      <w:pPr>
        <w:pStyle w:val="ListParagraph"/>
        <w:ind w:left="0"/>
        <w:jc w:val="center"/>
        <w:rPr>
          <w:szCs w:val="24"/>
          <w:highlight w:val="yellow"/>
        </w:rPr>
      </w:pPr>
    </w:p>
    <w:p w14:paraId="0EBB2049" w14:textId="77777777" w:rsidR="00C95B1D" w:rsidRPr="00C95B1D" w:rsidRDefault="00C95B1D" w:rsidP="00C95B1D">
      <w:pPr>
        <w:pStyle w:val="ListParagraph"/>
        <w:ind w:left="0"/>
        <w:rPr>
          <w:szCs w:val="24"/>
          <w:highlight w:val="yellow"/>
        </w:rPr>
      </w:pPr>
      <w:r w:rsidRPr="00C95B1D">
        <w:rPr>
          <w:szCs w:val="24"/>
          <w:highlight w:val="yellow"/>
        </w:rPr>
        <w:t>Training is an important factor in sustaining the NCRM mission.  All NCRM personnel receive On-the-Job-Training (OJT) to develop their skills and qualify for duty positions that help run the Museum.</w:t>
      </w:r>
    </w:p>
    <w:p w14:paraId="3BD243C5" w14:textId="77777777" w:rsidR="00C95B1D" w:rsidRPr="00C95B1D" w:rsidRDefault="00C95B1D" w:rsidP="00C95B1D">
      <w:pPr>
        <w:pStyle w:val="ListParagraph"/>
        <w:ind w:left="0"/>
        <w:rPr>
          <w:szCs w:val="24"/>
          <w:highlight w:val="yellow"/>
        </w:rPr>
      </w:pPr>
    </w:p>
    <w:p w14:paraId="0C7EBFB3" w14:textId="77777777" w:rsidR="00C95B1D" w:rsidRPr="00C95B1D" w:rsidRDefault="00C95B1D" w:rsidP="00C95B1D">
      <w:pPr>
        <w:pStyle w:val="ListParagraph"/>
        <w:numPr>
          <w:ilvl w:val="0"/>
          <w:numId w:val="12"/>
        </w:numPr>
        <w:ind w:left="360"/>
        <w:rPr>
          <w:szCs w:val="24"/>
          <w:highlight w:val="yellow"/>
        </w:rPr>
      </w:pPr>
      <w:r w:rsidRPr="00C95B1D">
        <w:rPr>
          <w:szCs w:val="24"/>
          <w:highlight w:val="yellow"/>
        </w:rPr>
        <w:t>Orientation</w:t>
      </w:r>
    </w:p>
    <w:p w14:paraId="758CF56A" w14:textId="77777777" w:rsidR="00C95B1D" w:rsidRPr="00C95B1D" w:rsidRDefault="00C95B1D" w:rsidP="00C95B1D">
      <w:pPr>
        <w:pStyle w:val="ListParagraph"/>
        <w:ind w:left="360"/>
        <w:rPr>
          <w:szCs w:val="24"/>
          <w:highlight w:val="yellow"/>
        </w:rPr>
      </w:pPr>
      <w:r w:rsidRPr="00C95B1D">
        <w:rPr>
          <w:szCs w:val="24"/>
          <w:highlight w:val="yellow"/>
        </w:rPr>
        <w:t>New members attend a New Member Orientation session to acquaint them with the history, Bylaws, organizational structure, communications, projects, ways to help out, and how to get started as an active volunteer.</w:t>
      </w:r>
    </w:p>
    <w:p w14:paraId="3BAFD6F9" w14:textId="77777777" w:rsidR="00C95B1D" w:rsidRPr="00C95B1D" w:rsidRDefault="00C95B1D" w:rsidP="00C95B1D">
      <w:pPr>
        <w:pStyle w:val="ListParagraph"/>
        <w:numPr>
          <w:ilvl w:val="0"/>
          <w:numId w:val="12"/>
        </w:numPr>
        <w:ind w:left="360"/>
        <w:rPr>
          <w:szCs w:val="24"/>
          <w:highlight w:val="yellow"/>
        </w:rPr>
      </w:pPr>
      <w:r w:rsidRPr="00C95B1D">
        <w:rPr>
          <w:szCs w:val="24"/>
          <w:highlight w:val="yellow"/>
        </w:rPr>
        <w:t>Training Days</w:t>
      </w:r>
    </w:p>
    <w:p w14:paraId="63D6E4D9" w14:textId="77777777" w:rsidR="00C95B1D" w:rsidRPr="00C95B1D" w:rsidRDefault="00C95B1D" w:rsidP="00C95B1D">
      <w:pPr>
        <w:pStyle w:val="ListParagraph"/>
        <w:ind w:left="360"/>
        <w:rPr>
          <w:szCs w:val="24"/>
          <w:highlight w:val="yellow"/>
        </w:rPr>
      </w:pPr>
      <w:r w:rsidRPr="00C95B1D">
        <w:rPr>
          <w:szCs w:val="24"/>
          <w:highlight w:val="yellow"/>
        </w:rPr>
        <w:t>All operating crew members must attend at least one formal Training Day session annually (required by Federal Railway Administration (FRA).  Topics include a discussion and review of the Rules Book and Timetable, any special timely topics, as well as practical demonstrations and practice (Excursion car brakes, coupling/uncoupling the train, signal crossing operation, track switch operation).  Administration of the Rules Test is also conducted.</w:t>
      </w:r>
    </w:p>
    <w:p w14:paraId="4616433B" w14:textId="77777777" w:rsidR="00C95B1D" w:rsidRPr="00C95B1D" w:rsidRDefault="00C95B1D" w:rsidP="00C95B1D">
      <w:pPr>
        <w:pStyle w:val="ListParagraph"/>
        <w:numPr>
          <w:ilvl w:val="0"/>
          <w:numId w:val="12"/>
        </w:numPr>
        <w:ind w:left="360"/>
        <w:rPr>
          <w:szCs w:val="24"/>
          <w:highlight w:val="yellow"/>
        </w:rPr>
      </w:pPr>
      <w:r w:rsidRPr="00C95B1D">
        <w:rPr>
          <w:szCs w:val="24"/>
          <w:highlight w:val="yellow"/>
        </w:rPr>
        <w:t>___</w:t>
      </w:r>
    </w:p>
    <w:p w14:paraId="71EA848F" w14:textId="77777777" w:rsidR="00152BB8" w:rsidRDefault="00152BB8"/>
    <w:sectPr w:rsidR="00152B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FFD8" w14:textId="77777777" w:rsidR="00CA38B9" w:rsidRDefault="00CA38B9" w:rsidP="00152BB8">
      <w:pPr>
        <w:spacing w:after="0" w:line="240" w:lineRule="auto"/>
      </w:pPr>
      <w:r>
        <w:separator/>
      </w:r>
    </w:p>
  </w:endnote>
  <w:endnote w:type="continuationSeparator" w:id="0">
    <w:p w14:paraId="3D2BA63E" w14:textId="77777777" w:rsidR="00CA38B9" w:rsidRDefault="00CA38B9" w:rsidP="0015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8684" w14:textId="77777777" w:rsidR="00152BB8" w:rsidRDefault="00152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112E" w14:textId="77777777" w:rsidR="00CA38B9" w:rsidRDefault="00CA38B9" w:rsidP="00152BB8">
      <w:pPr>
        <w:spacing w:after="0" w:line="240" w:lineRule="auto"/>
      </w:pPr>
      <w:r>
        <w:separator/>
      </w:r>
    </w:p>
  </w:footnote>
  <w:footnote w:type="continuationSeparator" w:id="0">
    <w:p w14:paraId="4E4211B1" w14:textId="77777777" w:rsidR="00CA38B9" w:rsidRDefault="00CA38B9" w:rsidP="0015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7BC"/>
    <w:multiLevelType w:val="hybridMultilevel"/>
    <w:tmpl w:val="26CA9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9AF"/>
    <w:multiLevelType w:val="hybridMultilevel"/>
    <w:tmpl w:val="082CB8DC"/>
    <w:lvl w:ilvl="0" w:tplc="752E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67F13"/>
    <w:multiLevelType w:val="hybridMultilevel"/>
    <w:tmpl w:val="EC6C84D0"/>
    <w:lvl w:ilvl="0" w:tplc="67629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541EE"/>
    <w:multiLevelType w:val="hybridMultilevel"/>
    <w:tmpl w:val="02084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BF4"/>
    <w:multiLevelType w:val="hybridMultilevel"/>
    <w:tmpl w:val="87787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B07A6"/>
    <w:multiLevelType w:val="hybridMultilevel"/>
    <w:tmpl w:val="9A8EC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5AD3"/>
    <w:multiLevelType w:val="hybridMultilevel"/>
    <w:tmpl w:val="0E121E2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691"/>
    <w:multiLevelType w:val="hybridMultilevel"/>
    <w:tmpl w:val="0D4A38AC"/>
    <w:lvl w:ilvl="0" w:tplc="BF746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D4DA9"/>
    <w:multiLevelType w:val="hybridMultilevel"/>
    <w:tmpl w:val="2E06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0C61"/>
    <w:multiLevelType w:val="hybridMultilevel"/>
    <w:tmpl w:val="8D600A7E"/>
    <w:lvl w:ilvl="0" w:tplc="52DC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A3BB2"/>
    <w:multiLevelType w:val="hybridMultilevel"/>
    <w:tmpl w:val="46C0C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15FBE"/>
    <w:multiLevelType w:val="hybridMultilevel"/>
    <w:tmpl w:val="C7D6F244"/>
    <w:lvl w:ilvl="0" w:tplc="78E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56071">
    <w:abstractNumId w:val="7"/>
  </w:num>
  <w:num w:numId="2" w16cid:durableId="1150439840">
    <w:abstractNumId w:val="11"/>
  </w:num>
  <w:num w:numId="3" w16cid:durableId="1086149912">
    <w:abstractNumId w:val="5"/>
  </w:num>
  <w:num w:numId="4" w16cid:durableId="874544703">
    <w:abstractNumId w:val="0"/>
  </w:num>
  <w:num w:numId="5" w16cid:durableId="1135220537">
    <w:abstractNumId w:val="10"/>
  </w:num>
  <w:num w:numId="6" w16cid:durableId="162402319">
    <w:abstractNumId w:val="2"/>
  </w:num>
  <w:num w:numId="7" w16cid:durableId="255292531">
    <w:abstractNumId w:val="1"/>
  </w:num>
  <w:num w:numId="8" w16cid:durableId="2093966696">
    <w:abstractNumId w:val="3"/>
  </w:num>
  <w:num w:numId="9" w16cid:durableId="2030835697">
    <w:abstractNumId w:val="9"/>
  </w:num>
  <w:num w:numId="10" w16cid:durableId="162626908">
    <w:abstractNumId w:val="6"/>
  </w:num>
  <w:num w:numId="11" w16cid:durableId="1378167474">
    <w:abstractNumId w:val="8"/>
  </w:num>
  <w:num w:numId="12" w16cid:durableId="996613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B8"/>
    <w:rsid w:val="0003030D"/>
    <w:rsid w:val="000E1F13"/>
    <w:rsid w:val="00152BB8"/>
    <w:rsid w:val="00203DE8"/>
    <w:rsid w:val="0033213B"/>
    <w:rsid w:val="003D4D8D"/>
    <w:rsid w:val="00476D1F"/>
    <w:rsid w:val="00572860"/>
    <w:rsid w:val="0072609B"/>
    <w:rsid w:val="00816E77"/>
    <w:rsid w:val="009B2C4A"/>
    <w:rsid w:val="00A67F1B"/>
    <w:rsid w:val="00AB78FA"/>
    <w:rsid w:val="00AF4EB8"/>
    <w:rsid w:val="00B759D6"/>
    <w:rsid w:val="00C95B1D"/>
    <w:rsid w:val="00CA38B9"/>
    <w:rsid w:val="00D13D8C"/>
    <w:rsid w:val="00E14E8D"/>
    <w:rsid w:val="00E628F7"/>
    <w:rsid w:val="00F17D95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700E4"/>
  <w15:chartTrackingRefBased/>
  <w15:docId w15:val="{3EAE988E-2D78-4DEE-96BC-2C96F07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B8"/>
  </w:style>
  <w:style w:type="paragraph" w:styleId="Footer">
    <w:name w:val="footer"/>
    <w:basedOn w:val="Normal"/>
    <w:link w:val="FooterChar"/>
    <w:uiPriority w:val="99"/>
    <w:unhideWhenUsed/>
    <w:rsid w:val="0015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B8"/>
  </w:style>
  <w:style w:type="paragraph" w:styleId="ListParagraph">
    <w:name w:val="List Paragraph"/>
    <w:basedOn w:val="Normal"/>
    <w:uiPriority w:val="34"/>
    <w:qFormat/>
    <w:rsid w:val="00F9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Winchell</dc:creator>
  <cp:keywords/>
  <dc:description/>
  <cp:lastModifiedBy>Ted Dunn</cp:lastModifiedBy>
  <cp:revision>2</cp:revision>
  <dcterms:created xsi:type="dcterms:W3CDTF">2023-05-01T21:43:00Z</dcterms:created>
  <dcterms:modified xsi:type="dcterms:W3CDTF">2023-05-01T21:43:00Z</dcterms:modified>
</cp:coreProperties>
</file>